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65CD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07269A">
              <w:rPr>
                <w:rFonts w:ascii="Times New Roman" w:hAnsi="Times New Roman" w:cs="Times New Roman"/>
                <w:iCs/>
              </w:rPr>
              <w:t>0</w:t>
            </w:r>
            <w:r w:rsidR="00F65CD6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F65CD6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65CD6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F65CD6" w:rsidRPr="00F6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Gradsko stambeno komunalno gospodarstvo d.o.o., Savska cesta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CD6" w:rsidRPr="00F65CD6">
              <w:rPr>
                <w:rFonts w:ascii="Times New Roman" w:hAnsi="Times New Roman" w:cs="Times New Roman"/>
                <w:b/>
              </w:rPr>
              <w:t>Održavanje i popravak fontana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65CD6">
              <w:rPr>
                <w:rFonts w:ascii="Times New Roman" w:hAnsi="Times New Roman" w:cs="Times New Roman"/>
                <w:b/>
              </w:rPr>
              <w:t>2500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10</cp:revision>
  <cp:lastPrinted>2017-11-09T09:26:00Z</cp:lastPrinted>
  <dcterms:created xsi:type="dcterms:W3CDTF">2017-08-08T08:08:00Z</dcterms:created>
  <dcterms:modified xsi:type="dcterms:W3CDTF">2017-11-09T09:26:00Z</dcterms:modified>
</cp:coreProperties>
</file>